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B7" w:rsidRDefault="009814B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Слайд 2. </w:t>
      </w:r>
    </w:p>
    <w:p w:rsidR="00ED2B9C" w:rsidRDefault="0078400C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правилами статьи 18.1 Федерального закона от 26.07.2006 г.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РФ, признаны несостоявшимися, а также при организации и проведении закупок в соответствии с ФЗ от 18.07.2011 г. 223-ФЗ о закупках товаров, работ, услуг отдельными видами юридических лиц, за исключением</w:t>
      </w:r>
      <w:r w:rsidR="00B96DA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жалоб, рассмотрение которых предусмотрено законодательством РФ о контрактной системе в сфере закупок товаров, работ, услуг для обеспечения государственных и муниципальных нужд,</w:t>
      </w:r>
    </w:p>
    <w:p w:rsidR="009814B7" w:rsidRDefault="009814B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Слайд 3.</w:t>
      </w:r>
    </w:p>
    <w:p w:rsidR="00B96DAB" w:rsidRDefault="00B96DAB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акты и (или) действия (бездействие) </w:t>
      </w:r>
      <w:r w:rsidR="003521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органов власти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в части: нарушения установленных сроков осуществления процедуры, включенной в исчерпывающий перечень процедур в соответствующей сфере строительства,</w:t>
      </w:r>
    </w:p>
    <w:p w:rsidR="00B96DAB" w:rsidRPr="00424EF1" w:rsidRDefault="003521E0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</w:pPr>
      <w:r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 xml:space="preserve">1. </w:t>
      </w:r>
      <w:r w:rsidR="00AE3117"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</w:t>
      </w:r>
    </w:p>
    <w:p w:rsidR="00AE3117" w:rsidRPr="00424EF1" w:rsidRDefault="003521E0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</w:pPr>
      <w:r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 xml:space="preserve">2. </w:t>
      </w:r>
      <w:r w:rsidR="00AE3117"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</w:t>
      </w:r>
    </w:p>
    <w:p w:rsidR="00AE3117" w:rsidRDefault="00AE311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9814B7" w:rsidRDefault="009814B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Слайд 4.</w:t>
      </w:r>
    </w:p>
    <w:p w:rsidR="00AE3117" w:rsidRDefault="00AE311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действия (бездействие) территориальной сетевой организации, оказывающей услуги по передаче электрической энергии, организации, осуществляющей холодное водоснабжение и (или) водоотведение (организации водопроводно-канализационного хозяйства), организации, осуществляющей горячее водоснабжение, газораспределительной организации, теплоснабжающей организации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</w:t>
      </w:r>
      <w:r w:rsidR="003521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тельства, выраженные в:</w:t>
      </w:r>
    </w:p>
    <w:p w:rsidR="009814B7" w:rsidRDefault="009814B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>Слайд 5.</w:t>
      </w:r>
    </w:p>
    <w:p w:rsidR="00AE3117" w:rsidRPr="00424EF1" w:rsidRDefault="00AE311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</w:pPr>
      <w:r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>А незаконном отказе в приеме документов, заявлений</w:t>
      </w:r>
    </w:p>
    <w:p w:rsidR="00AE3117" w:rsidRPr="00424EF1" w:rsidRDefault="00AE311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</w:pPr>
      <w:r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>Б предъявлении к лицу, подавшему жалобу, документам и информации требований, не установленных федеральными законами, иными нормативными правовыми актами РФ, нормативными правовыми актами субъектов РФ, в случае, если предусмотренная указанными актами процедура включена в исчерпываюший перечень процедур в соответствующей сфере строительства</w:t>
      </w:r>
    </w:p>
    <w:p w:rsidR="00AE3117" w:rsidRPr="00424EF1" w:rsidRDefault="00AE3117" w:rsidP="00A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</w:pPr>
      <w:r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>В) нарушении установленных сроков осуществления процедуры, включенной в исчерпывающий перечень процедур в соответствующей сфере строительства</w:t>
      </w:r>
      <w:r w:rsidR="006B4EB8" w:rsidRPr="00424EF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>.</w:t>
      </w:r>
    </w:p>
    <w:p w:rsidR="003521E0" w:rsidRPr="00424EF1" w:rsidRDefault="003521E0" w:rsidP="0035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EF1">
        <w:rPr>
          <w:rFonts w:ascii="Times New Roman" w:hAnsi="Times New Roman" w:cs="Times New Roman"/>
          <w:i/>
          <w:sz w:val="24"/>
          <w:szCs w:val="24"/>
        </w:rPr>
        <w:t>Г) предъявлении требования осуществить процедуру, не включенную в исчерпывающий перечень процедур в соответствующей сфере строительства</w:t>
      </w:r>
    </w:p>
    <w:p w:rsidR="009814B7" w:rsidRDefault="009814B7" w:rsidP="0035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6. </w:t>
      </w:r>
    </w:p>
    <w:p w:rsidR="003521E0" w:rsidRDefault="003521E0" w:rsidP="0035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предоставления антимонопольному органу соответствующих полномочий являлось устранение административных барьеров при осуществлении строительной деятельности.</w:t>
      </w:r>
    </w:p>
    <w:p w:rsidR="00424EF1" w:rsidRDefault="00424EF1" w:rsidP="0042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полномочия антимонопольного органа при рассмотрении жалоб на акты и (или) действия (бездействие) указанных выше субъектов при осуществлении процедур в сферах строительства ограничены положениями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3 ч. 1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ст. 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Закона. В частности, в компетенцию антимонопольного органа </w:t>
      </w:r>
      <w:r w:rsidRPr="00424EF1">
        <w:rPr>
          <w:rFonts w:ascii="Times New Roman" w:hAnsi="Times New Roman" w:cs="Times New Roman"/>
          <w:b/>
          <w:sz w:val="24"/>
          <w:szCs w:val="24"/>
        </w:rPr>
        <w:t>не входят</w:t>
      </w:r>
      <w:r>
        <w:rPr>
          <w:rFonts w:ascii="Times New Roman" w:hAnsi="Times New Roman" w:cs="Times New Roman"/>
          <w:sz w:val="24"/>
          <w:szCs w:val="24"/>
        </w:rPr>
        <w:t xml:space="preserve"> процедуры, осуществляемые государственным органом, уполномоченным на осуществление государственной регистрации прав на имущество.</w:t>
      </w:r>
    </w:p>
    <w:p w:rsidR="00424EF1" w:rsidRPr="009814B7" w:rsidRDefault="00424EF1" w:rsidP="00981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7">
        <w:rPr>
          <w:rFonts w:ascii="Times New Roman" w:hAnsi="Times New Roman" w:cs="Times New Roman"/>
          <w:i/>
          <w:sz w:val="24"/>
          <w:szCs w:val="24"/>
        </w:rPr>
        <w:t>Применительно же ко всем остальным процедурам в сфере строительства антимонопольный орган вправе рассматривать жалобы на:</w:t>
      </w:r>
    </w:p>
    <w:p w:rsidR="00424EF1" w:rsidRPr="009814B7" w:rsidRDefault="00424EF1" w:rsidP="00981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7">
        <w:rPr>
          <w:rFonts w:ascii="Times New Roman" w:hAnsi="Times New Roman" w:cs="Times New Roman"/>
          <w:i/>
          <w:sz w:val="24"/>
          <w:szCs w:val="24"/>
        </w:rPr>
        <w:t>- нарушение установленных сроков осуществления процедуры;</w:t>
      </w:r>
    </w:p>
    <w:p w:rsidR="00424EF1" w:rsidRPr="009814B7" w:rsidRDefault="00424EF1" w:rsidP="00981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7">
        <w:rPr>
          <w:rFonts w:ascii="Times New Roman" w:hAnsi="Times New Roman" w:cs="Times New Roman"/>
          <w:i/>
          <w:sz w:val="24"/>
          <w:szCs w:val="24"/>
        </w:rPr>
        <w:t>- предъявление требования осуществить процедуру, не включенную в исчерпывающий перечень процедур в сфере строительства;</w:t>
      </w:r>
    </w:p>
    <w:p w:rsidR="00424EF1" w:rsidRPr="009814B7" w:rsidRDefault="00424EF1" w:rsidP="00981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7">
        <w:rPr>
          <w:rFonts w:ascii="Times New Roman" w:hAnsi="Times New Roman" w:cs="Times New Roman"/>
          <w:i/>
          <w:sz w:val="24"/>
          <w:szCs w:val="24"/>
        </w:rPr>
        <w:t>а в случае, когда речь идет о действиях (бездействии) организаций, осуществляющих эксплуатацию сетей, то к вышеуказанному перечню добавляется также:</w:t>
      </w:r>
    </w:p>
    <w:p w:rsidR="00424EF1" w:rsidRPr="009814B7" w:rsidRDefault="00424EF1" w:rsidP="00981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7">
        <w:rPr>
          <w:rFonts w:ascii="Times New Roman" w:hAnsi="Times New Roman" w:cs="Times New Roman"/>
          <w:i/>
          <w:sz w:val="24"/>
          <w:szCs w:val="24"/>
        </w:rPr>
        <w:t>- незаконный отказ в приеме документов, заявлений;</w:t>
      </w:r>
    </w:p>
    <w:p w:rsidR="00424EF1" w:rsidRPr="009814B7" w:rsidRDefault="00424EF1" w:rsidP="00981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7">
        <w:rPr>
          <w:rFonts w:ascii="Times New Roman" w:hAnsi="Times New Roman" w:cs="Times New Roman"/>
          <w:i/>
          <w:sz w:val="24"/>
          <w:szCs w:val="24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РФ, субъектов РФ.</w:t>
      </w:r>
    </w:p>
    <w:p w:rsidR="0078400C" w:rsidRDefault="0078400C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21E0" w:rsidRDefault="003521E0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4EF1" w:rsidRDefault="00424EF1" w:rsidP="00424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Жалобы на действия (бездействие) заказчика при закупках товаров, работ, услуг в соответствии с положениями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223-ФЗ, осуществляемых в любых формах (не ограничиваясь торгами и запросом котировок), рассматриваются ФАС России и ее территориальными органами также в порядке, установленном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 защите конкуренции. Однако предусмотренный порядок рассмотрения жалоб не распространяется на жалобы в отношении торгов в рамках государственных (муниципальных) закупок. Такие жалобы рассматриваются в порядке, установленном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8A7F8B" w:rsidRDefault="008A7F8B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частью 2 статьи 18.1 Закона действия (бездействие) организатора торгов могут быть обжалованы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также иным лицом,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E35265" w:rsidRDefault="00E35265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Слайд 7.</w:t>
      </w:r>
    </w:p>
    <w:p w:rsidR="00E35265" w:rsidRDefault="00E35265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начала 2017 г. в Калмыцкое УФАС России поступило 17 жалоб в порядке статьи 18.1 Федерального закона «О защите конкуренции». Из них 1 жалоба возвращена, 16 рассмотрено. 10 жалоб признаны необоснованными, 6 жалоб признаны обоснованными.</w:t>
      </w:r>
    </w:p>
    <w:p w:rsidR="00E35265" w:rsidRDefault="00E35265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26EF" w:rsidRDefault="00DA26EF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торги обжаловались заявителями видно из следующего слайда.</w:t>
      </w:r>
    </w:p>
    <w:p w:rsidR="00DA26EF" w:rsidRDefault="00DA26EF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Слайд 8.</w:t>
      </w:r>
    </w:p>
    <w:p w:rsidR="00DA26EF" w:rsidRDefault="003F48C0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торги на право заключения договора аренды земельных участков подано 13 жалоб, на торги, проводимые в порядке Федерального закона «О несостоятельности (банкротстве)» 2 жалобы, на закупки в соответствии с Федеральным законом №223-ФЗ «О закупках товаров, работ, услуг отдельными видами юридических лиц» - 1 жалоба, в сфере строительства – 1 жалоба.</w:t>
      </w:r>
    </w:p>
    <w:p w:rsidR="0078400C" w:rsidRDefault="00BA0CA4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правилам статьи 18.1 Закона о защите конкуренции могут быть обжалованы торги в форме, как правило, конкурса или аукциона (статья 447 Гражданского кодекса).</w:t>
      </w:r>
    </w:p>
    <w:p w:rsidR="00BA0CA4" w:rsidRDefault="00BA0CA4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тем, если федеральным законом или законом субъекта РФ прямо предусмотрена иная форма торгов, например, продажа имущества должника посредством публичного предложения (часть 4 статьи 139 Федерального закона от 26.10.2002 г. 127-ФЗ О несостоятельности (банкротстве), антимонопольный орган рассматривает жалобы на такие торги в порядке статьи 18.1 Закона о защите конкуренции.</w:t>
      </w:r>
    </w:p>
    <w:p w:rsidR="00BA0CA4" w:rsidRDefault="00BA0CA4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Кроме того, законом о приватизации также предусмотрены способы продажи государственного или муниципального имущества как, например, посредством публичного предложения и продажа имущества без объявления цены.</w:t>
      </w:r>
    </w:p>
    <w:p w:rsidR="00BA0CA4" w:rsidRDefault="00BA0CA4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того, Калмыцким УФАС России в 1 полугодии </w:t>
      </w:r>
      <w:r w:rsidR="002B0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рассмотрена жалоба в порядке ст. 18.1 на процедуру, предусмотренную статьей 39.18 Земельного кодекса. </w:t>
      </w:r>
      <w:r w:rsidR="00023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процедура направлена на соблюдение баланса прав и законных интересов собственника земельного участка и граждан, заинтересованных в приобретении соответствующих прав на земельный участок.</w:t>
      </w:r>
      <w:r w:rsidR="002D3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Она заключается в следующем.</w:t>
      </w:r>
    </w:p>
    <w:p w:rsidR="002D3DBE" w:rsidRDefault="002D3DBE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поступления заявления гражданина о представлении земельного участка уполномоченный орган обеспечивает опубликование на официальном сайте </w:t>
      </w:r>
      <w:hyperlink r:id="rId12" w:history="1">
        <w:r w:rsidRPr="00BC69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BC69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BC69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torgi</w:t>
        </w:r>
        <w:r w:rsidRPr="00BC69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BC69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печатном издании, предусмотренном Уставом муниципального образования, на официальном сайте уполномоченного органа извещение о представлении земельного участка. В течение 30 дней иные граждане и КФХ имеют право подавать заявления о намерении участвовать в аукционе. Если в течение 30 дней заявления не поступают, то уполномоченный орган </w:t>
      </w:r>
      <w:r w:rsidR="00C54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либо готовит проект договора аренды или купли-продажи земельного участка, либо принимает решение о предварительном согласовании предоставления земельного участка, и, следовательно, торги не объявляются.</w:t>
      </w:r>
    </w:p>
    <w:p w:rsidR="00C54876" w:rsidRDefault="00C54876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случае, если поступают заявления иных граждан или КФХ, уполномоченный орган принимает решение об отказе первоначально обратившемуся лицу в предоставлении (или в согласовании) и о проведении аукциона.</w:t>
      </w:r>
    </w:p>
    <w:p w:rsidR="00B7495E" w:rsidRDefault="00C54876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в ходе указанной процедуры</w:t>
      </w:r>
      <w:r w:rsidR="00B74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соблюдении соответствующих условий аукцион может быть не объявлен. Между тем, Калмыцкое УФАС России пришло к выводу о том, что жалоба на действия уполномоченного органа при проведении указанной процедуры может быть рассмотрена в порядке статьи 18.1 Закона о защите конкуренции.</w:t>
      </w:r>
    </w:p>
    <w:p w:rsidR="00B7495E" w:rsidRDefault="00B7495E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пункту 4.2 части 1 статьи 23 Закона антимонопольный орган рассматривает жалобы на нарушение процедуры обязательных в соответствии с законодательством РФ торгов, продажи государственного или муниципального имущества. В данном случае действия уполномоченного органа, наделенного публичными полномочиями, могли повлечь (и повлекли) нарушение прав и законных интересов гражданина, который имел намерения на участие в аукционе но был лишен такой возможности в той ситуации, когда наличие нескольких лиц, заинтересованных в получении прав на земельных участок обязывает уполномоченный орган провести аукцион.</w:t>
      </w:r>
    </w:p>
    <w:p w:rsidR="00B7495E" w:rsidRDefault="00DA402B" w:rsidP="00B749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Слайд 9. </w:t>
      </w:r>
    </w:p>
    <w:p w:rsidR="00DA402B" w:rsidRDefault="00DA402B" w:rsidP="00B749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Щелчок.</w:t>
      </w:r>
    </w:p>
    <w:p w:rsidR="00B7495E" w:rsidRPr="00B7495E" w:rsidRDefault="00C366B5" w:rsidP="00B749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рассмотренном случае</w:t>
      </w:r>
      <w:r w:rsidR="00B7495E" w:rsidRPr="00B74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бездействие Министерства по опубликованию извещения о возможном предоставлении земельного участка в порядке ст. 39.18 Земельного кодекса от 20.12.2016 г. на официальном сайте для размещения информации о проведении торгов, определенном Правительством РФ </w:t>
      </w:r>
      <w:hyperlink r:id="rId13" w:history="1">
        <w:r w:rsidR="00B7495E" w:rsidRPr="00B7495E">
          <w:rPr>
            <w:rStyle w:val="a8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http</w:t>
        </w:r>
        <w:r w:rsidR="00B7495E" w:rsidRPr="00B7495E">
          <w:rPr>
            <w:rStyle w:val="a8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://</w:t>
        </w:r>
        <w:r w:rsidR="00B7495E" w:rsidRPr="00B7495E">
          <w:rPr>
            <w:rStyle w:val="a8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torgi</w:t>
        </w:r>
        <w:r w:rsidR="00B7495E" w:rsidRPr="00B7495E">
          <w:rPr>
            <w:rStyle w:val="a8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.</w:t>
        </w:r>
        <w:r w:rsidR="00B7495E" w:rsidRPr="00B7495E">
          <w:rPr>
            <w:rStyle w:val="a8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gov</w:t>
        </w:r>
        <w:r w:rsidR="00B7495E" w:rsidRPr="00B7495E">
          <w:rPr>
            <w:rStyle w:val="a8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.</w:t>
        </w:r>
        <w:r w:rsidR="00B7495E" w:rsidRPr="00B7495E">
          <w:rPr>
            <w:rStyle w:val="a8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ru</w:t>
        </w:r>
      </w:hyperlink>
      <w:r w:rsidR="00B7495E" w:rsidRPr="00B74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нарушило п. 1 ч. 1 ст. 39.18, безусловно сузило круг потенциальных заявителей, которые могли бы обратиться с заявлением о намерении участвовать в Аукционе.</w:t>
      </w:r>
    </w:p>
    <w:p w:rsidR="00B7495E" w:rsidRPr="00B7495E" w:rsidRDefault="00B7495E" w:rsidP="00B749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74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Результатом такого бездействия </w:t>
      </w:r>
      <w:r w:rsidR="00C366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стали</w:t>
      </w:r>
      <w:r w:rsidRPr="00B74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последствия, проименованные в ч. 5 ст. 39.18 Земельного кодекса, подготовка, подписание и направления проекта договора аренды, купли-продажи, либо принятие решения о предварительном согласовании предоставления земельного участка при условии исполнения требований Закона «О государственной регистрации недвижимости». В этом случае исключается конкурентный способ предоставления земельного участка – Аукцион, следовательно, ограничивается конкуренция.</w:t>
      </w:r>
    </w:p>
    <w:p w:rsidR="00C54876" w:rsidRDefault="00C366B5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Уполномоченному органу было выдано предписание об отмене размещенного извещения.</w:t>
      </w:r>
    </w:p>
    <w:p w:rsidR="00C54876" w:rsidRDefault="00424EF1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Предписание исполнено. Извещение отменено.</w:t>
      </w:r>
    </w:p>
    <w:p w:rsidR="00424EF1" w:rsidRDefault="00424EF1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5CC8" w:rsidRDefault="00635CC8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Следующий пример рассмотрения жалобы в порядке ст. 18.1</w:t>
      </w:r>
    </w:p>
    <w:p w:rsidR="00DA402B" w:rsidRDefault="00DA402B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Слайд 10.</w:t>
      </w: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12.05.2017 г. на официальном сайте </w:t>
      </w:r>
      <w:hyperlink r:id="rId14" w:history="1"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torgi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было размещено извещение о проведении открытого аукциона по продаже права на заключение договора аренды земельных участков, СМО РК. </w:t>
      </w: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05.06.2017 г. Управление Федерального Казначейства в РК в г. Городовиковске сообщило, что поступили задатки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аукцион, но не на те счета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заявителя по жалобе</w:t>
      </w: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Управление Федерального казначейства по РК вернули задатки 06.06.07 г. на счет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заявителя</w:t>
      </w: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07.06.07 г. по почте пришли заявки на аукцион от ООО «Юг-Инвест+». Распоряжением от 05.06.2017 г. №32 Администрацией Южненского СМО РК были внесены изменения в реквизиты счета для перечисления задатка. Указанные изменения были опубликованы в газете «Муниципальный вестник» и на официальном сайте </w:t>
      </w:r>
      <w:hyperlink r:id="rId15" w:history="1"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torgi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Срок подачи заявок для участия в аукционе не изменялся и заканчивался 08.06.2017 г. в 17.00. </w:t>
      </w:r>
    </w:p>
    <w:p w:rsidR="00DA402B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Участником аукциона (заявителем по жалобе)</w:t>
      </w: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были оплачены задатки за участие в аукционе по лотам 1, 2, 3, 4 на счет, указанный в извещении о проведении торгов, однако </w:t>
      </w:r>
    </w:p>
    <w:p w:rsidR="00DA402B" w:rsidRDefault="00DA402B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Слайд 11. </w:t>
      </w:r>
    </w:p>
    <w:p w:rsidR="00DA402B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 согласно протоколу №1 от 13.06.2017 г. не допущено к торгам по лотам в связи с неоплатой задатка. </w:t>
      </w:r>
    </w:p>
    <w:p w:rsidR="00DA402B" w:rsidRDefault="00DA402B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Щелчок.</w:t>
      </w: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всем четырем лотам аукционы были признаны несостоявшимися, так как поступило по одной заявке, признанной соответствующей требованиям извещения. Было принято решение заключить договоры с заявителями, подавшими заявки, признанные соответствующими требованиям извещения. </w:t>
      </w: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Указанные действия Комиссией были признаны нарушением ч. 19, 20 ст. 39.11 Земельного кодекса. Администрации было выдано предписание об отмене результатов торгов. Предписание исполнено.</w:t>
      </w: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и напоследок, еще один пример.</w:t>
      </w:r>
    </w:p>
    <w:p w:rsidR="003A3FBD" w:rsidRDefault="00DA402B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Слайд 12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09.07.2017 г. на официальном сайте </w:t>
      </w:r>
      <w:hyperlink r:id="rId16" w:history="1"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torgi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3A3FB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было размещено извещение о проведении открытого аукциона по продаже права на заключение договора аренды земельных участков (Лот №4) по адресу: Республика Калмыкия, г. Элиста, ул. им. Хрущева Н.С., д. 27 «А», с кадастровым номером 08:14:030656:883 площадью 133 кв.м., с видом разрешенного использования – бытовое обслуживание. Реестровый номер 090717/0162325/02. Указанное извещение было также размещено в газете «Элистинская панорама» 13.07.2017 г. №77.</w:t>
      </w: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п. 4 ч. 21 ст. 39.11 Земельного кодекса РФ Извещение о проведении аукциона должно содержать сведения: 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</w:t>
      </w: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право заключения договора аренды земельного участка для комплексного освоения территории или ведения дачного хозяйства);</w:t>
      </w: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Размещенное извещение о проведении открытого аукциона не содержит всех необходимых сведений о технических условиях подключения объекта капитального строительства к сетям инженерно-технического обеспечения, о предельной свободной мощности соответствующих сетей, о максимальной нагрузке и сроках подключения объекта капитального строительства к сетям инженерно-технического обеспечения, о сроках действия технических условий, о плате за подключение. Указанные действия являются нарушением пункта 4 части 21 статьи 39.11 Земельного кодекса РФ.</w:t>
      </w: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Ранее на указанный участок, являющимся предметом аренды, размещалось извещение о проведении аукциона. Так 11.05.2017 в газете «Элистинская панорама» №48, на официальном сайте для размещения информации о проведении торгов, определенного Правительством РФ , размещено извещение №110517/0162325/01 о проведении открытого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города Элисты (в том числе Лот №11 – земельный участок площадью 133 кв.м., с кадастровым номером 08:14:030656:883, расположенный по адресу: РК, г. Элиста, ул. Н.С. Хрущева, севернее котельной, разрешенное использование  - бытовое обслуживание.</w:t>
      </w: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Однако приказом Министерства от 08.06.2017 г. №127-од принято решение об отказе в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города Элисты, от 14.06.2017 г.. причиной отмены аукциона послужило именно </w:t>
      </w: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отсутствие сведений о технических условиях подключения</w:t>
      </w: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(технологического присоединения) объекта капитального строительства к сетям инженерно-технического обеспечения в связи с требованиями пп. 4 п. 8 ст. 39.11 Земельного кодекса РФ.</w:t>
      </w: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отметить, что в первоначальном извещении от 11.05.2017 г. в извещении также отсутствовали сведения о технических условиях, предусмотренные пунктом 4 части 21 статьи 39.11 Земельного кодекса РФ, а также заявитель Манджиев С.В. подавал заявку на участие в открытом аукционе по указанному лоту при первоначальном размещении.</w:t>
      </w: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нарушение требований к содержанию извещения Министерством носят повторяющийся характер.</w:t>
      </w:r>
    </w:p>
    <w:p w:rsid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3FBD" w:rsidRPr="003A3FBD" w:rsidRDefault="003A3FBD" w:rsidP="003A3F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5CC8" w:rsidRDefault="00635CC8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4876" w:rsidRPr="002D3DBE" w:rsidRDefault="00C54876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00C" w:rsidRDefault="0078400C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00C" w:rsidRDefault="0078400C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400C" w:rsidRDefault="0078400C" w:rsidP="00ED2B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8400C" w:rsidSect="005A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CE" w:rsidRDefault="00E53CCE" w:rsidP="00821ED2">
      <w:pPr>
        <w:spacing w:after="0" w:line="240" w:lineRule="auto"/>
      </w:pPr>
      <w:r>
        <w:separator/>
      </w:r>
    </w:p>
  </w:endnote>
  <w:endnote w:type="continuationSeparator" w:id="0">
    <w:p w:rsidR="00E53CCE" w:rsidRDefault="00E53CCE" w:rsidP="008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CE" w:rsidRDefault="00E53CCE" w:rsidP="00821ED2">
      <w:pPr>
        <w:spacing w:after="0" w:line="240" w:lineRule="auto"/>
      </w:pPr>
      <w:r>
        <w:separator/>
      </w:r>
    </w:p>
  </w:footnote>
  <w:footnote w:type="continuationSeparator" w:id="0">
    <w:p w:rsidR="00E53CCE" w:rsidRDefault="00E53CCE" w:rsidP="008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61B90"/>
    <w:multiLevelType w:val="hybridMultilevel"/>
    <w:tmpl w:val="5C2097B8"/>
    <w:lvl w:ilvl="0" w:tplc="F39AF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33544C"/>
    <w:multiLevelType w:val="multilevel"/>
    <w:tmpl w:val="841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4A"/>
    <w:rsid w:val="000225C2"/>
    <w:rsid w:val="000237DE"/>
    <w:rsid w:val="0004073B"/>
    <w:rsid w:val="00082B3B"/>
    <w:rsid w:val="000A05E5"/>
    <w:rsid w:val="000F1D60"/>
    <w:rsid w:val="000F5D88"/>
    <w:rsid w:val="001608BD"/>
    <w:rsid w:val="00165243"/>
    <w:rsid w:val="001A7758"/>
    <w:rsid w:val="001D4D3A"/>
    <w:rsid w:val="00211359"/>
    <w:rsid w:val="00212DB2"/>
    <w:rsid w:val="002133D9"/>
    <w:rsid w:val="002146D0"/>
    <w:rsid w:val="00214AFE"/>
    <w:rsid w:val="002173DD"/>
    <w:rsid w:val="00232825"/>
    <w:rsid w:val="002776A5"/>
    <w:rsid w:val="002A6CA8"/>
    <w:rsid w:val="002B0BEB"/>
    <w:rsid w:val="002C7B74"/>
    <w:rsid w:val="002D3DBE"/>
    <w:rsid w:val="0030398E"/>
    <w:rsid w:val="003521E0"/>
    <w:rsid w:val="003A3FBD"/>
    <w:rsid w:val="003D16D2"/>
    <w:rsid w:val="003E3195"/>
    <w:rsid w:val="003F0D77"/>
    <w:rsid w:val="003F48C0"/>
    <w:rsid w:val="00422CE6"/>
    <w:rsid w:val="00424EF1"/>
    <w:rsid w:val="00427E9C"/>
    <w:rsid w:val="00443B24"/>
    <w:rsid w:val="00497D3F"/>
    <w:rsid w:val="004B3A1B"/>
    <w:rsid w:val="004B5DE7"/>
    <w:rsid w:val="004B79D0"/>
    <w:rsid w:val="00532EEE"/>
    <w:rsid w:val="00551430"/>
    <w:rsid w:val="005A619A"/>
    <w:rsid w:val="00635CC8"/>
    <w:rsid w:val="00645326"/>
    <w:rsid w:val="00693C02"/>
    <w:rsid w:val="00697933"/>
    <w:rsid w:val="006B4EB8"/>
    <w:rsid w:val="007631C8"/>
    <w:rsid w:val="0078400C"/>
    <w:rsid w:val="007D0ABE"/>
    <w:rsid w:val="00801327"/>
    <w:rsid w:val="00821ED2"/>
    <w:rsid w:val="00861209"/>
    <w:rsid w:val="00862018"/>
    <w:rsid w:val="008821F7"/>
    <w:rsid w:val="008A7F8B"/>
    <w:rsid w:val="009150DD"/>
    <w:rsid w:val="009814B7"/>
    <w:rsid w:val="009B5850"/>
    <w:rsid w:val="00A6117B"/>
    <w:rsid w:val="00A92A17"/>
    <w:rsid w:val="00AA6903"/>
    <w:rsid w:val="00AE3117"/>
    <w:rsid w:val="00B40BFC"/>
    <w:rsid w:val="00B445F0"/>
    <w:rsid w:val="00B56AAC"/>
    <w:rsid w:val="00B64B4B"/>
    <w:rsid w:val="00B7495E"/>
    <w:rsid w:val="00B94481"/>
    <w:rsid w:val="00B96DAB"/>
    <w:rsid w:val="00BA0CA4"/>
    <w:rsid w:val="00C14C47"/>
    <w:rsid w:val="00C1576C"/>
    <w:rsid w:val="00C366B5"/>
    <w:rsid w:val="00C54876"/>
    <w:rsid w:val="00C92FC6"/>
    <w:rsid w:val="00CB48DE"/>
    <w:rsid w:val="00CB5A81"/>
    <w:rsid w:val="00CC1F27"/>
    <w:rsid w:val="00DA26EF"/>
    <w:rsid w:val="00DA402B"/>
    <w:rsid w:val="00DB7B98"/>
    <w:rsid w:val="00DD224A"/>
    <w:rsid w:val="00E35265"/>
    <w:rsid w:val="00E377E0"/>
    <w:rsid w:val="00E50EFA"/>
    <w:rsid w:val="00E53CCE"/>
    <w:rsid w:val="00E7150F"/>
    <w:rsid w:val="00E75332"/>
    <w:rsid w:val="00EA4257"/>
    <w:rsid w:val="00ED2B9C"/>
    <w:rsid w:val="00EE434A"/>
    <w:rsid w:val="00F15FE8"/>
    <w:rsid w:val="00F66187"/>
    <w:rsid w:val="00F84720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B75C-6B62-410D-85F6-E92C408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9A"/>
  </w:style>
  <w:style w:type="paragraph" w:styleId="3">
    <w:name w:val="heading 3"/>
    <w:basedOn w:val="a"/>
    <w:link w:val="30"/>
    <w:uiPriority w:val="9"/>
    <w:qFormat/>
    <w:rsid w:val="00A61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4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1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6117B"/>
  </w:style>
  <w:style w:type="character" w:styleId="a6">
    <w:name w:val="Emphasis"/>
    <w:basedOn w:val="a0"/>
    <w:uiPriority w:val="20"/>
    <w:qFormat/>
    <w:rsid w:val="00A6117B"/>
    <w:rPr>
      <w:i/>
      <w:iCs/>
    </w:rPr>
  </w:style>
  <w:style w:type="character" w:styleId="a7">
    <w:name w:val="Strong"/>
    <w:basedOn w:val="a0"/>
    <w:uiPriority w:val="22"/>
    <w:qFormat/>
    <w:rsid w:val="00A6117B"/>
    <w:rPr>
      <w:b/>
      <w:bCs/>
    </w:rPr>
  </w:style>
  <w:style w:type="character" w:customStyle="1" w:styleId="postid">
    <w:name w:val="post_id"/>
    <w:basedOn w:val="a0"/>
    <w:rsid w:val="00A6117B"/>
  </w:style>
  <w:style w:type="character" w:styleId="a8">
    <w:name w:val="Hyperlink"/>
    <w:basedOn w:val="a0"/>
    <w:uiPriority w:val="99"/>
    <w:unhideWhenUsed/>
    <w:rsid w:val="00A6117B"/>
    <w:rPr>
      <w:color w:val="0000FF"/>
      <w:u w:val="single"/>
    </w:rPr>
  </w:style>
  <w:style w:type="character" w:customStyle="1" w:styleId="author">
    <w:name w:val="author"/>
    <w:basedOn w:val="a0"/>
    <w:rsid w:val="00A6117B"/>
  </w:style>
  <w:style w:type="paragraph" w:customStyle="1" w:styleId="desc">
    <w:name w:val="desc"/>
    <w:basedOn w:val="a"/>
    <w:rsid w:val="00A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nfo">
    <w:name w:val="posted_info"/>
    <w:basedOn w:val="a"/>
    <w:rsid w:val="00A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ion">
    <w:name w:val="citation"/>
    <w:basedOn w:val="a"/>
    <w:rsid w:val="00A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ED2"/>
  </w:style>
  <w:style w:type="paragraph" w:styleId="ab">
    <w:name w:val="footer"/>
    <w:basedOn w:val="a"/>
    <w:link w:val="ac"/>
    <w:uiPriority w:val="99"/>
    <w:semiHidden/>
    <w:unhideWhenUsed/>
    <w:rsid w:val="008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1ED2"/>
  </w:style>
  <w:style w:type="character" w:customStyle="1" w:styleId="ad">
    <w:name w:val="Основной текст_"/>
    <w:basedOn w:val="a0"/>
    <w:link w:val="1"/>
    <w:rsid w:val="00915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9150DD"/>
    <w:pPr>
      <w:shd w:val="clear" w:color="auto" w:fill="FFFFFF"/>
      <w:spacing w:before="1020" w:after="0" w:line="317" w:lineRule="exact"/>
      <w:ind w:hanging="34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E2EB"/>
            <w:right w:val="none" w:sz="0" w:space="0" w:color="auto"/>
          </w:divBdr>
          <w:divsChild>
            <w:div w:id="450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562">
                  <w:marLeft w:val="22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E2EB"/>
            <w:right w:val="none" w:sz="0" w:space="0" w:color="auto"/>
          </w:divBdr>
          <w:divsChild>
            <w:div w:id="9656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749">
                  <w:marLeft w:val="22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7090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17375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6693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16510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EE3960A736435E5FCC258769A66EDEF84B350C304E56CF0E2E05F5z8V8K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574A1EBBD19A84574EE3960A736435E5FCC258769A66EDEF84B350C304E56CF0E2E05F5z8V5K" TargetMode="External"/><Relationship Id="rId12" Type="http://schemas.openxmlformats.org/officeDocument/2006/relationships/hyperlink" Target="http://torgi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1C8495A4C6D303376BED2CF3AB500EBE6C808F112DFB99D1F751F6B3f7X5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consultantplus://offline/ref=B81C8495A4C6D303376BED2CF3AB500EBE6C808F192AFB99D1F751F6B375A67EEF918AAA60f9X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C8495A4C6D303376BED2CF3AB500EBD6586851F20FB99D1F751F6B3f7X5K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to08-Dordghiev</cp:lastModifiedBy>
  <cp:revision>5</cp:revision>
  <cp:lastPrinted>2016-02-18T06:48:00Z</cp:lastPrinted>
  <dcterms:created xsi:type="dcterms:W3CDTF">2017-09-03T18:22:00Z</dcterms:created>
  <dcterms:modified xsi:type="dcterms:W3CDTF">2017-09-05T07:35:00Z</dcterms:modified>
</cp:coreProperties>
</file>